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6F" w:rsidRDefault="00331D6F" w:rsidP="00EC0B28">
      <w:pPr>
        <w:spacing w:after="0" w:line="240" w:lineRule="auto"/>
        <w:ind w:left="90" w:right="576"/>
        <w:jc w:val="both"/>
        <w:rPr>
          <w:b/>
          <w:sz w:val="24"/>
          <w:szCs w:val="24"/>
          <w:u w:val="single"/>
          <w:lang w:val="sq-AL"/>
        </w:rPr>
      </w:pPr>
    </w:p>
    <w:p w:rsidR="003302DD" w:rsidRPr="00773DF7" w:rsidRDefault="003302DD" w:rsidP="003302DD">
      <w:pPr>
        <w:spacing w:after="0" w:line="240" w:lineRule="auto"/>
        <w:ind w:left="1260" w:hanging="1260"/>
        <w:jc w:val="right"/>
        <w:rPr>
          <w:rFonts w:ascii="Times New Roman" w:hAnsi="Times New Roman"/>
          <w:sz w:val="24"/>
          <w:szCs w:val="24"/>
          <w:lang w:val="sq-AL"/>
        </w:rPr>
      </w:pPr>
      <w:r w:rsidRPr="00773DF7">
        <w:rPr>
          <w:rFonts w:ascii="Times New Roman" w:hAnsi="Times New Roman"/>
          <w:sz w:val="24"/>
          <w:szCs w:val="24"/>
          <w:lang w:val="sq-AL"/>
        </w:rPr>
        <w:tab/>
      </w:r>
      <w:r w:rsidRPr="00773DF7">
        <w:rPr>
          <w:rFonts w:ascii="Times New Roman" w:hAnsi="Times New Roman"/>
          <w:sz w:val="24"/>
          <w:szCs w:val="24"/>
          <w:lang w:val="sq-AL"/>
        </w:rPr>
        <w:tab/>
      </w:r>
      <w:r w:rsidRPr="00773DF7">
        <w:rPr>
          <w:rFonts w:ascii="Times New Roman" w:hAnsi="Times New Roman"/>
          <w:sz w:val="24"/>
          <w:szCs w:val="24"/>
          <w:lang w:val="sq-AL"/>
        </w:rPr>
        <w:tab/>
      </w:r>
      <w:r w:rsidRPr="00773DF7">
        <w:rPr>
          <w:rFonts w:ascii="Times New Roman" w:hAnsi="Times New Roman"/>
          <w:sz w:val="24"/>
          <w:szCs w:val="24"/>
          <w:lang w:val="sq-AL"/>
        </w:rPr>
        <w:tab/>
      </w:r>
      <w:r w:rsidRPr="00773DF7">
        <w:rPr>
          <w:rFonts w:ascii="Times New Roman" w:hAnsi="Times New Roman"/>
          <w:sz w:val="24"/>
          <w:szCs w:val="24"/>
          <w:lang w:val="sq-AL"/>
        </w:rPr>
        <w:tab/>
      </w:r>
      <w:r w:rsidRPr="00773DF7">
        <w:rPr>
          <w:rFonts w:ascii="Times New Roman" w:hAnsi="Times New Roman"/>
          <w:sz w:val="24"/>
          <w:szCs w:val="24"/>
          <w:lang w:val="sq-AL"/>
        </w:rPr>
        <w:tab/>
        <w:t>Tiranë, më</w:t>
      </w:r>
      <w:r>
        <w:rPr>
          <w:rFonts w:ascii="Times New Roman" w:hAnsi="Times New Roman"/>
          <w:sz w:val="24"/>
          <w:szCs w:val="24"/>
          <w:lang w:val="sq-AL"/>
        </w:rPr>
        <w:t>21</w:t>
      </w:r>
      <w:r w:rsidRPr="00773DF7">
        <w:rPr>
          <w:rFonts w:ascii="Times New Roman" w:hAnsi="Times New Roman"/>
          <w:sz w:val="24"/>
          <w:szCs w:val="24"/>
          <w:lang w:val="sq-AL"/>
        </w:rPr>
        <w:t>/0</w:t>
      </w:r>
      <w:r>
        <w:rPr>
          <w:rFonts w:ascii="Times New Roman" w:hAnsi="Times New Roman"/>
          <w:sz w:val="24"/>
          <w:szCs w:val="24"/>
          <w:lang w:val="sq-AL"/>
        </w:rPr>
        <w:t>4</w:t>
      </w:r>
      <w:r w:rsidRPr="00773DF7">
        <w:rPr>
          <w:rFonts w:ascii="Times New Roman" w:hAnsi="Times New Roman"/>
          <w:sz w:val="24"/>
          <w:szCs w:val="24"/>
          <w:lang w:val="sq-AL"/>
        </w:rPr>
        <w:t>/2017</w:t>
      </w:r>
    </w:p>
    <w:p w:rsidR="003302DD" w:rsidRPr="00773DF7" w:rsidRDefault="003302DD" w:rsidP="003302DD">
      <w:pPr>
        <w:spacing w:after="0" w:line="240" w:lineRule="auto"/>
        <w:ind w:left="1260" w:hanging="1260"/>
        <w:jc w:val="both"/>
        <w:rPr>
          <w:rFonts w:ascii="Times New Roman" w:hAnsi="Times New Roman"/>
          <w:sz w:val="24"/>
          <w:szCs w:val="24"/>
          <w:lang w:val="sq-AL"/>
        </w:rPr>
      </w:pPr>
    </w:p>
    <w:p w:rsidR="003302DD" w:rsidRPr="00773DF7" w:rsidRDefault="003302DD" w:rsidP="003302DD">
      <w:pPr>
        <w:spacing w:after="0" w:line="240" w:lineRule="auto"/>
        <w:ind w:left="1260" w:hanging="1260"/>
        <w:jc w:val="both"/>
        <w:rPr>
          <w:rFonts w:ascii="Times New Roman" w:hAnsi="Times New Roman"/>
          <w:sz w:val="24"/>
          <w:szCs w:val="24"/>
          <w:u w:val="single"/>
          <w:lang w:val="sq-AL"/>
        </w:rPr>
      </w:pPr>
    </w:p>
    <w:p w:rsidR="003302DD" w:rsidRPr="00773DF7" w:rsidRDefault="003302DD" w:rsidP="003302DD">
      <w:pPr>
        <w:spacing w:after="0" w:line="240" w:lineRule="auto"/>
        <w:ind w:left="1800" w:hanging="1800"/>
        <w:jc w:val="both"/>
        <w:rPr>
          <w:rFonts w:ascii="Times New Roman" w:hAnsi="Times New Roman"/>
          <w:sz w:val="24"/>
          <w:szCs w:val="24"/>
          <w:u w:val="single"/>
          <w:lang w:val="sq-AL"/>
        </w:rPr>
      </w:pPr>
      <w:r w:rsidRPr="00773DF7">
        <w:rPr>
          <w:rFonts w:ascii="Times New Roman" w:hAnsi="Times New Roman"/>
          <w:sz w:val="24"/>
          <w:szCs w:val="24"/>
          <w:lang w:val="sq-AL"/>
        </w:rPr>
        <w:tab/>
      </w:r>
    </w:p>
    <w:p w:rsidR="003302DD" w:rsidRPr="00773DF7" w:rsidRDefault="003302DD" w:rsidP="003302DD">
      <w:pPr>
        <w:spacing w:after="0" w:line="240" w:lineRule="auto"/>
        <w:ind w:left="1800" w:hanging="1800"/>
        <w:jc w:val="both"/>
        <w:rPr>
          <w:rFonts w:ascii="Times New Roman" w:hAnsi="Times New Roman"/>
          <w:sz w:val="24"/>
          <w:szCs w:val="24"/>
          <w:lang w:val="sq-AL"/>
        </w:rPr>
      </w:pPr>
      <w:r w:rsidRPr="00773DF7">
        <w:rPr>
          <w:rFonts w:ascii="Times New Roman" w:hAnsi="Times New Roman"/>
          <w:sz w:val="24"/>
          <w:szCs w:val="24"/>
          <w:lang w:val="sq-AL"/>
        </w:rPr>
        <w:t>Drejtuar:</w:t>
      </w:r>
      <w:r w:rsidRPr="00773DF7">
        <w:rPr>
          <w:rFonts w:ascii="Times New Roman" w:hAnsi="Times New Roman"/>
          <w:sz w:val="24"/>
          <w:szCs w:val="24"/>
          <w:lang w:val="sq-AL"/>
        </w:rPr>
        <w:tab/>
        <w:t>Z.</w:t>
      </w:r>
      <w:r>
        <w:rPr>
          <w:rFonts w:ascii="Times New Roman" w:hAnsi="Times New Roman"/>
          <w:b/>
          <w:sz w:val="24"/>
          <w:szCs w:val="24"/>
          <w:lang w:val="sq-AL"/>
        </w:rPr>
        <w:t>Habjon Hasani</w:t>
      </w:r>
      <w:r w:rsidRPr="00773DF7">
        <w:rPr>
          <w:rFonts w:ascii="Times New Roman" w:hAnsi="Times New Roman"/>
          <w:sz w:val="24"/>
          <w:szCs w:val="24"/>
          <w:lang w:val="sq-AL"/>
        </w:rPr>
        <w:t xml:space="preserve">, </w:t>
      </w:r>
      <w:r>
        <w:rPr>
          <w:rFonts w:ascii="Times New Roman" w:hAnsi="Times New Roman"/>
          <w:sz w:val="24"/>
          <w:szCs w:val="24"/>
          <w:lang w:val="sq-AL"/>
        </w:rPr>
        <w:t>Hashtag.al</w:t>
      </w:r>
    </w:p>
    <w:p w:rsidR="003302DD" w:rsidRPr="00773DF7" w:rsidRDefault="003302DD" w:rsidP="003302DD">
      <w:pPr>
        <w:spacing w:after="0" w:line="240" w:lineRule="auto"/>
        <w:ind w:left="1800" w:hanging="1800"/>
        <w:jc w:val="both"/>
        <w:rPr>
          <w:rFonts w:ascii="Times New Roman" w:hAnsi="Times New Roman"/>
          <w:sz w:val="24"/>
          <w:szCs w:val="24"/>
          <w:u w:val="single"/>
          <w:lang w:val="sq-AL"/>
        </w:rPr>
      </w:pPr>
    </w:p>
    <w:p w:rsidR="003302DD" w:rsidRPr="00773DF7" w:rsidRDefault="003302DD" w:rsidP="003302DD">
      <w:pPr>
        <w:spacing w:after="0" w:line="240" w:lineRule="auto"/>
        <w:ind w:left="1800" w:hanging="1800"/>
        <w:jc w:val="both"/>
        <w:rPr>
          <w:rFonts w:ascii="Times New Roman" w:hAnsi="Times New Roman"/>
          <w:i/>
          <w:sz w:val="24"/>
          <w:szCs w:val="24"/>
          <w:lang w:val="sq-AL"/>
        </w:rPr>
      </w:pPr>
      <w:r w:rsidRPr="00773DF7">
        <w:rPr>
          <w:rFonts w:ascii="Times New Roman" w:hAnsi="Times New Roman"/>
          <w:sz w:val="24"/>
          <w:szCs w:val="24"/>
          <w:lang w:val="sq-AL"/>
        </w:rPr>
        <w:t>Lënda:</w:t>
      </w:r>
      <w:r w:rsidRPr="00773DF7">
        <w:rPr>
          <w:rFonts w:ascii="Times New Roman" w:hAnsi="Times New Roman"/>
          <w:b/>
          <w:i/>
          <w:sz w:val="24"/>
          <w:szCs w:val="24"/>
          <w:lang w:val="sq-AL"/>
        </w:rPr>
        <w:t xml:space="preserve"> </w:t>
      </w:r>
      <w:r w:rsidRPr="00773DF7">
        <w:rPr>
          <w:rFonts w:ascii="Times New Roman" w:hAnsi="Times New Roman"/>
          <w:b/>
          <w:i/>
          <w:sz w:val="24"/>
          <w:szCs w:val="24"/>
          <w:lang w:val="sq-AL"/>
        </w:rPr>
        <w:tab/>
      </w:r>
      <w:r>
        <w:rPr>
          <w:rFonts w:ascii="Times New Roman" w:hAnsi="Times New Roman"/>
          <w:b/>
          <w:i/>
          <w:sz w:val="24"/>
          <w:szCs w:val="24"/>
          <w:lang w:val="sq-AL"/>
        </w:rPr>
        <w:t>Kthim përgjigje për pyetjet e bëra nga ju</w:t>
      </w:r>
    </w:p>
    <w:p w:rsidR="003302DD" w:rsidRPr="00E62033" w:rsidRDefault="003302DD" w:rsidP="00EC0B28">
      <w:pPr>
        <w:spacing w:after="0" w:line="240" w:lineRule="auto"/>
        <w:ind w:left="90" w:right="576"/>
        <w:jc w:val="both"/>
        <w:rPr>
          <w:b/>
          <w:sz w:val="24"/>
          <w:szCs w:val="24"/>
          <w:u w:val="single"/>
          <w:lang w:val="sq-AL"/>
        </w:rPr>
      </w:pPr>
    </w:p>
    <w:p w:rsidR="00776484" w:rsidRPr="00776484" w:rsidRDefault="00776484" w:rsidP="00EC0B28">
      <w:pPr>
        <w:tabs>
          <w:tab w:val="left" w:pos="5415"/>
        </w:tabs>
        <w:spacing w:after="0" w:line="240" w:lineRule="auto"/>
        <w:ind w:left="90"/>
        <w:jc w:val="both"/>
        <w:rPr>
          <w:rFonts w:asciiTheme="minorHAnsi" w:eastAsia="Times New Roman" w:hAnsiTheme="minorHAnsi"/>
          <w:b/>
          <w:sz w:val="28"/>
          <w:szCs w:val="28"/>
          <w:lang w:val="sq-AL"/>
        </w:rPr>
      </w:pPr>
    </w:p>
    <w:p w:rsidR="00E62033" w:rsidRPr="00E62033" w:rsidRDefault="00BB26EE" w:rsidP="00EC0B28">
      <w:pPr>
        <w:tabs>
          <w:tab w:val="left" w:pos="3660"/>
        </w:tabs>
        <w:spacing w:after="0" w:line="240" w:lineRule="auto"/>
        <w:ind w:left="90"/>
        <w:jc w:val="both"/>
        <w:rPr>
          <w:bCs/>
          <w:sz w:val="24"/>
          <w:szCs w:val="24"/>
          <w:lang w:val="sq-AL"/>
        </w:rPr>
      </w:pPr>
      <w:r>
        <w:rPr>
          <w:b/>
          <w:bCs/>
          <w:sz w:val="24"/>
          <w:szCs w:val="24"/>
          <w:lang w:val="sq-AL"/>
        </w:rPr>
        <w:tab/>
      </w:r>
    </w:p>
    <w:p w:rsidR="003302DD" w:rsidRPr="003302DD" w:rsidRDefault="003302DD" w:rsidP="003302DD">
      <w:pPr>
        <w:tabs>
          <w:tab w:val="left" w:pos="5415"/>
        </w:tabs>
        <w:spacing w:after="0" w:line="240" w:lineRule="auto"/>
        <w:ind w:left="90"/>
        <w:jc w:val="both"/>
        <w:rPr>
          <w:rFonts w:ascii="Times New Roman" w:hAnsi="Times New Roman"/>
          <w:b/>
          <w:sz w:val="24"/>
          <w:szCs w:val="24"/>
          <w:lang w:val="sq-AL"/>
        </w:rPr>
      </w:pPr>
      <w:r w:rsidRPr="003302DD">
        <w:rPr>
          <w:rFonts w:ascii="Times New Roman" w:hAnsi="Times New Roman"/>
          <w:b/>
          <w:sz w:val="24"/>
          <w:szCs w:val="24"/>
          <w:lang w:val="sq-AL"/>
        </w:rPr>
        <w:t>A po kryen Albpetrol operacione hidrokarbure në territorin e koncensionit të kompanisë ‘Phoenix’?</w:t>
      </w:r>
    </w:p>
    <w:p w:rsidR="003302DD" w:rsidRPr="003302DD" w:rsidRDefault="003302DD" w:rsidP="003302DD">
      <w:pPr>
        <w:tabs>
          <w:tab w:val="left" w:pos="5415"/>
        </w:tabs>
        <w:spacing w:after="0" w:line="240" w:lineRule="auto"/>
        <w:ind w:left="90"/>
        <w:jc w:val="both"/>
        <w:rPr>
          <w:rFonts w:ascii="Times New Roman" w:hAnsi="Times New Roman"/>
          <w:sz w:val="24"/>
          <w:szCs w:val="24"/>
          <w:lang w:val="sq-AL"/>
        </w:rPr>
      </w:pPr>
      <w:r w:rsidRPr="003302DD">
        <w:rPr>
          <w:rFonts w:ascii="Times New Roman" w:hAnsi="Times New Roman"/>
          <w:sz w:val="24"/>
          <w:szCs w:val="24"/>
          <w:lang w:val="sq-AL"/>
        </w:rPr>
        <w:t xml:space="preserve">Si fillim sqarojmë se Vendburimi i Amonicёs nuk ёshtё territor i koncesionit tё shoqёrisё Phoenix Petroleum sh.a, pasi Marrёveshja Hidrokarbure “Pёr zhvillimin dhe prodhimin e hidrokarbureve nё Vendburimin e Amonicёs”, mbi bazёn e tё cilit kjo shoqёri kryente operacione hidrokarbure nё kёtё vendburim, ёshtё zgjidhur përpara afatit te parashikuar, si rezultat i mospërmbushjes së detyrimeve kontraktuale nga Phoenix Petroleum sh.a. Nё bazё tё ligjit nr.7746, datё 28.07.1993 “Pёr hidrokarburet (kёrkimi dhe prodhimi) i ndryshuar, qё prej datёs 9 Mars 2017 shoqёria Albpetrol sh.a ka marrё autorizimin e Ministrisë sё Energjisë dhe Industrisë pёr tё kryer operacione pёr zhvillimin dhe shfrytёzimin e hidrokarbureve nё Vendburimin e Amonicës.  </w:t>
      </w:r>
    </w:p>
    <w:p w:rsidR="003302DD" w:rsidRPr="003302DD" w:rsidRDefault="003302DD" w:rsidP="003302DD">
      <w:pPr>
        <w:tabs>
          <w:tab w:val="left" w:pos="5415"/>
        </w:tabs>
        <w:spacing w:after="0" w:line="240" w:lineRule="auto"/>
        <w:ind w:left="90"/>
        <w:jc w:val="both"/>
        <w:rPr>
          <w:rFonts w:ascii="Times New Roman" w:hAnsi="Times New Roman"/>
          <w:sz w:val="24"/>
          <w:szCs w:val="24"/>
          <w:lang w:val="sq-AL"/>
        </w:rPr>
      </w:pPr>
    </w:p>
    <w:p w:rsidR="003302DD" w:rsidRPr="003302DD" w:rsidRDefault="003302DD" w:rsidP="003302DD">
      <w:pPr>
        <w:tabs>
          <w:tab w:val="left" w:pos="5415"/>
        </w:tabs>
        <w:spacing w:after="0" w:line="240" w:lineRule="auto"/>
        <w:ind w:left="90"/>
        <w:jc w:val="both"/>
        <w:rPr>
          <w:rFonts w:ascii="Times New Roman" w:hAnsi="Times New Roman"/>
          <w:b/>
          <w:sz w:val="24"/>
          <w:szCs w:val="24"/>
          <w:lang w:val="sq-AL"/>
        </w:rPr>
      </w:pPr>
      <w:r w:rsidRPr="003302DD">
        <w:rPr>
          <w:rFonts w:ascii="Times New Roman" w:hAnsi="Times New Roman"/>
          <w:b/>
          <w:sz w:val="24"/>
          <w:szCs w:val="24"/>
          <w:lang w:val="sq-AL"/>
        </w:rPr>
        <w:t>A është njoftuar Albpetrol në rrugë zyrtare nga AKBN-ja për ndërprerjen e menjëhershme të këtyre operacioneve?</w:t>
      </w:r>
    </w:p>
    <w:p w:rsidR="003302DD" w:rsidRPr="003302DD" w:rsidRDefault="003302DD" w:rsidP="003302DD">
      <w:pPr>
        <w:tabs>
          <w:tab w:val="left" w:pos="5415"/>
        </w:tabs>
        <w:spacing w:after="0" w:line="240" w:lineRule="auto"/>
        <w:ind w:left="90"/>
        <w:jc w:val="both"/>
        <w:rPr>
          <w:rFonts w:ascii="Times New Roman" w:hAnsi="Times New Roman"/>
          <w:sz w:val="24"/>
          <w:szCs w:val="24"/>
          <w:lang w:val="sq-AL"/>
        </w:rPr>
      </w:pPr>
      <w:r w:rsidRPr="003302DD">
        <w:rPr>
          <w:rFonts w:ascii="Times New Roman" w:hAnsi="Times New Roman"/>
          <w:sz w:val="24"/>
          <w:szCs w:val="24"/>
          <w:lang w:val="sq-AL"/>
        </w:rPr>
        <w:t>AKBN-ja ёshtё institucion nё varësi tё Ministrisë sё Energjisë dhe Industrisë (MEI) dhe pёrfaqёsonte kёtё tё fundit nё Licencë Marrëveshjen “Për zhvillimin dhe prodhimin e hidrokarbureve nё Vendburimin e Amonicёs” e lidhur me shoqёrinё Albpetrol sh.a. Pas përfundimit tё Marrëveshjes Hidrokarbure me shoqёrinё Phoenix Petroleum sh.a dhe autorizimit nga  MEI pёr kryerjen e operacioneve hidrokarbure nё kёtё Vendburim nga shoqëria Albpetrol sh.a, AKBN-ja nuk ka mё kompetencë pёr tё vepruar nё bazё tё Licencё Marrёveshjes sё sipërcituar pasi kjo e fundit konsiderohet gjithashtu e përfunduar. Pёr shkaqet e parashtruara mё sipёr AKBN-ja nuk i ka kёrkuar dhe as ka kompetencё ligjore t’i kёrkoj</w:t>
      </w:r>
      <w:r>
        <w:rPr>
          <w:rFonts w:ascii="Times New Roman" w:hAnsi="Times New Roman"/>
          <w:sz w:val="24"/>
          <w:szCs w:val="24"/>
          <w:lang w:val="sq-AL"/>
        </w:rPr>
        <w:t>ë</w:t>
      </w:r>
      <w:r w:rsidRPr="003302DD">
        <w:rPr>
          <w:rFonts w:ascii="Times New Roman" w:hAnsi="Times New Roman"/>
          <w:sz w:val="24"/>
          <w:szCs w:val="24"/>
          <w:lang w:val="sq-AL"/>
        </w:rPr>
        <w:t xml:space="preserve"> shoqёrisё Albpetrol sh.a, ndërprerjen e menjёherёshme tё kryerjes sё operacioneve hidrokarbure nё Vendburimin e Amonicёs.</w:t>
      </w:r>
    </w:p>
    <w:p w:rsidR="003302DD" w:rsidRPr="003302DD" w:rsidRDefault="003302DD" w:rsidP="003302DD">
      <w:pPr>
        <w:tabs>
          <w:tab w:val="left" w:pos="5415"/>
        </w:tabs>
        <w:spacing w:after="0" w:line="240" w:lineRule="auto"/>
        <w:ind w:left="90"/>
        <w:jc w:val="both"/>
        <w:rPr>
          <w:rFonts w:ascii="Times New Roman" w:hAnsi="Times New Roman"/>
          <w:sz w:val="24"/>
          <w:szCs w:val="24"/>
          <w:lang w:val="sq-AL"/>
        </w:rPr>
      </w:pPr>
    </w:p>
    <w:p w:rsidR="003302DD" w:rsidRPr="003302DD" w:rsidRDefault="003302DD" w:rsidP="003302DD">
      <w:pPr>
        <w:tabs>
          <w:tab w:val="left" w:pos="5415"/>
        </w:tabs>
        <w:spacing w:after="0" w:line="240" w:lineRule="auto"/>
        <w:ind w:left="90"/>
        <w:jc w:val="both"/>
        <w:rPr>
          <w:rFonts w:ascii="Times New Roman" w:hAnsi="Times New Roman"/>
          <w:b/>
          <w:sz w:val="24"/>
          <w:szCs w:val="24"/>
          <w:lang w:val="sq-AL"/>
        </w:rPr>
      </w:pPr>
      <w:r w:rsidRPr="003302DD">
        <w:rPr>
          <w:rFonts w:ascii="Times New Roman" w:hAnsi="Times New Roman"/>
          <w:b/>
          <w:sz w:val="24"/>
          <w:szCs w:val="24"/>
          <w:lang w:val="sq-AL"/>
        </w:rPr>
        <w:t>Cili është shkaku i ndotjes së rezervuarit të Amonicës me lëndë hidrokarbure?</w:t>
      </w:r>
    </w:p>
    <w:p w:rsidR="003302DD" w:rsidRPr="003302DD" w:rsidRDefault="003302DD" w:rsidP="003302DD">
      <w:pPr>
        <w:tabs>
          <w:tab w:val="left" w:pos="5415"/>
        </w:tabs>
        <w:spacing w:after="0" w:line="240" w:lineRule="auto"/>
        <w:ind w:left="90"/>
        <w:jc w:val="both"/>
        <w:rPr>
          <w:rFonts w:ascii="Times New Roman" w:hAnsi="Times New Roman"/>
          <w:sz w:val="24"/>
          <w:szCs w:val="24"/>
          <w:lang w:val="sq-AL"/>
        </w:rPr>
      </w:pPr>
      <w:r w:rsidRPr="003302DD">
        <w:rPr>
          <w:rFonts w:ascii="Times New Roman" w:hAnsi="Times New Roman"/>
          <w:sz w:val="24"/>
          <w:szCs w:val="24"/>
          <w:lang w:val="sq-AL"/>
        </w:rPr>
        <w:t xml:space="preserve">Rezervuari në kushtet natyrore është shtresa produktive e cila prodhon naftë, ujë dhe gaz. Pra rezervuari nuk mund të ndotet. Nëse e keni fjalën për ndotjet sipërfaqësore në vendburimin e Amonicës atëherë shkaku i ndotjes është moskryerja e investimeve të premtuara dhe keqmenaxhimi i  vendburimit nga kompania Phoenix Petrolem. Ky keqmenaxhim është një nga shkaqet për të cilat kompanisë Phoenix Petroleum iu hoq vendburimi i Amonicës. Albpetrol ka filluar procesin e pastrimit të të gjitha linjave të lëna në mëshirën e fatit nga shoqëria Phoenix Petroleum. Të gjitha kostot për këtë pastrim do t’i faturohen shoqërisë në fjalë. </w:t>
      </w:r>
      <w:r w:rsidR="00EC050F" w:rsidRPr="003302DD">
        <w:rPr>
          <w:rFonts w:ascii="Times New Roman" w:hAnsi="Times New Roman"/>
          <w:sz w:val="24"/>
          <w:szCs w:val="24"/>
          <w:lang w:val="sq-AL"/>
        </w:rPr>
        <w:t>Nëse</w:t>
      </w:r>
      <w:r w:rsidRPr="003302DD">
        <w:rPr>
          <w:rFonts w:ascii="Times New Roman" w:hAnsi="Times New Roman"/>
          <w:sz w:val="24"/>
          <w:szCs w:val="24"/>
          <w:lang w:val="sq-AL"/>
        </w:rPr>
        <w:t xml:space="preserve"> ju nevojitet një video e gjendjes se Vendburimit në momentin e rimarrjes nga Albpetrol mund t’jua vëmë në dispozicion.</w:t>
      </w:r>
    </w:p>
    <w:p w:rsidR="003302DD" w:rsidRPr="003302DD" w:rsidRDefault="003302DD" w:rsidP="003302DD">
      <w:pPr>
        <w:tabs>
          <w:tab w:val="left" w:pos="5415"/>
        </w:tabs>
        <w:spacing w:after="0" w:line="240" w:lineRule="auto"/>
        <w:ind w:left="90"/>
        <w:jc w:val="both"/>
        <w:rPr>
          <w:rFonts w:ascii="Times New Roman" w:hAnsi="Times New Roman"/>
          <w:sz w:val="24"/>
          <w:szCs w:val="24"/>
          <w:lang w:val="sq-AL"/>
        </w:rPr>
      </w:pPr>
    </w:p>
    <w:p w:rsidR="003302DD" w:rsidRPr="003302DD" w:rsidRDefault="003302DD" w:rsidP="003302DD">
      <w:pPr>
        <w:tabs>
          <w:tab w:val="left" w:pos="5415"/>
        </w:tabs>
        <w:spacing w:after="0" w:line="240" w:lineRule="auto"/>
        <w:ind w:left="90"/>
        <w:jc w:val="both"/>
        <w:rPr>
          <w:rFonts w:ascii="Times New Roman" w:hAnsi="Times New Roman"/>
          <w:b/>
          <w:sz w:val="24"/>
          <w:szCs w:val="24"/>
          <w:lang w:val="sq-AL"/>
        </w:rPr>
      </w:pPr>
      <w:r w:rsidRPr="003302DD">
        <w:rPr>
          <w:rFonts w:ascii="Times New Roman" w:hAnsi="Times New Roman"/>
          <w:b/>
          <w:sz w:val="24"/>
          <w:szCs w:val="24"/>
          <w:lang w:val="sq-AL"/>
        </w:rPr>
        <w:t>A ka ndërhyrë Albpetrol  në burimin e Amonicës për ta dërguar lëndën nëpërmjet tubacioneve të vjetra drejt Gorishtit?</w:t>
      </w:r>
    </w:p>
    <w:p w:rsidR="003302DD" w:rsidRPr="003302DD" w:rsidRDefault="003302DD" w:rsidP="003302DD">
      <w:pPr>
        <w:tabs>
          <w:tab w:val="left" w:pos="5415"/>
        </w:tabs>
        <w:spacing w:after="0" w:line="240" w:lineRule="auto"/>
        <w:ind w:left="90"/>
        <w:jc w:val="both"/>
        <w:rPr>
          <w:rFonts w:ascii="Times New Roman" w:hAnsi="Times New Roman"/>
          <w:sz w:val="24"/>
          <w:szCs w:val="24"/>
          <w:lang w:val="sq-AL"/>
        </w:rPr>
      </w:pPr>
      <w:r w:rsidRPr="003302DD">
        <w:rPr>
          <w:rFonts w:ascii="Times New Roman" w:hAnsi="Times New Roman"/>
          <w:sz w:val="24"/>
          <w:szCs w:val="24"/>
          <w:lang w:val="sq-AL"/>
        </w:rPr>
        <w:t>Jo, shoqëria Albpetrol sh.a nuk ka ndërhyrë në tubacionet e vjetra që lidhin Gorishtin me Amonicën për të transportuar fluid. Shoqëria Albpetrol ka filluar procesin e riparimit të këtij tubacioni. Hapi i parë është testimi me ujë i tubacionit për të konstatuar defektet. Bëhet fjalë për 12 kilometra tubacione, të cilat janë dëmtuar rëndë gjatë kohës që vendburimi administrohej nga kompania Phoenix Petroleum. Momentalisht ne kemi ndërhyrë në 3 kilometrat e para të tubacionit ku pasi u kryen testimet u evidentuan tre çarje. Albpetrol sh.a riparoi çarjet dhe në ditët në vijim do të kryejë testimin me ujë për 3 kilometra pasardhës. Procesi i riparimit pritet të përfundojë brenda 30 ditëve të ardhshme. Pas riparimit përmes këtyre tubacioneve do të kryhet transporti i fluidit nga vendburimi i Amonicës për në dekantimin e Gorishtit. Fluidi i Amonicës deri në vitin 2014 është përpunuar në Dekantimin e Gorishtit. Në vitin 2014 shoqëria Phoenix Petroleum gjatë kohës që kishte në administrim këtë vendburim ndërtoi një dekantim të sajin, të cilin momentalisht po e mban forcërisht ndonëse kjo pasuri është një pasuri e rikuperuar dhe duhet t’i dorëzohet Albpetrol. Në këto kushte, Albpetrol sh.a është i detyruar që të kryejë dekantimin e fluidit të prodhuar në Amonicë, në dekantimin e Gorishtit.</w:t>
      </w:r>
    </w:p>
    <w:p w:rsidR="003302DD" w:rsidRPr="003302DD" w:rsidRDefault="003302DD" w:rsidP="003302DD">
      <w:pPr>
        <w:tabs>
          <w:tab w:val="left" w:pos="5415"/>
        </w:tabs>
        <w:spacing w:after="0" w:line="240" w:lineRule="auto"/>
        <w:ind w:left="90"/>
        <w:jc w:val="both"/>
        <w:rPr>
          <w:rFonts w:ascii="Times New Roman" w:hAnsi="Times New Roman"/>
          <w:sz w:val="24"/>
          <w:szCs w:val="24"/>
          <w:lang w:val="sq-AL"/>
        </w:rPr>
      </w:pPr>
    </w:p>
    <w:p w:rsidR="003302DD" w:rsidRPr="003302DD" w:rsidRDefault="003302DD" w:rsidP="003302DD">
      <w:pPr>
        <w:tabs>
          <w:tab w:val="left" w:pos="5415"/>
        </w:tabs>
        <w:spacing w:after="0" w:line="240" w:lineRule="auto"/>
        <w:ind w:left="90"/>
        <w:jc w:val="both"/>
        <w:rPr>
          <w:rFonts w:ascii="Times New Roman" w:hAnsi="Times New Roman"/>
          <w:b/>
          <w:sz w:val="24"/>
          <w:szCs w:val="24"/>
          <w:lang w:val="sq-AL"/>
        </w:rPr>
      </w:pPr>
      <w:r w:rsidRPr="003302DD">
        <w:rPr>
          <w:rFonts w:ascii="Times New Roman" w:hAnsi="Times New Roman"/>
          <w:b/>
          <w:sz w:val="24"/>
          <w:szCs w:val="24"/>
          <w:lang w:val="sq-AL"/>
        </w:rPr>
        <w:t>A është informuar Albpetrol zyrtarisht  nga ministri Arben Ahmetaj se kompania ‘Phoenix’ nuk ka asnjë detyrim të prapambetur tatimor apo doganor?</w:t>
      </w:r>
    </w:p>
    <w:p w:rsidR="003302DD" w:rsidRPr="003302DD" w:rsidRDefault="003302DD" w:rsidP="003302DD">
      <w:pPr>
        <w:tabs>
          <w:tab w:val="left" w:pos="5415"/>
        </w:tabs>
        <w:spacing w:after="0" w:line="240" w:lineRule="auto"/>
        <w:ind w:left="90"/>
        <w:jc w:val="both"/>
        <w:rPr>
          <w:rFonts w:ascii="Times New Roman" w:hAnsi="Times New Roman"/>
          <w:sz w:val="24"/>
          <w:szCs w:val="24"/>
          <w:lang w:val="sq-AL"/>
        </w:rPr>
      </w:pPr>
      <w:r w:rsidRPr="003302DD">
        <w:rPr>
          <w:rFonts w:ascii="Times New Roman" w:hAnsi="Times New Roman"/>
          <w:sz w:val="24"/>
          <w:szCs w:val="24"/>
          <w:lang w:val="sq-AL"/>
        </w:rPr>
        <w:t>Marrëdhëniet e shoqërisë Phoenix Petroleum me autoritetet doganore apo tatimore nuk janë çështje që i përkasin Albpetrol sh.a deri ne momentin që këto çështje nuk bëhen pengesë për menaxhimin e vendburimeve për të cilat Albpetrol ka nënshkruar marrëveshje me ndarje prodhimi me shoqërinë Phoenix Petroleum. Në dijeninë tonë, Phoenix Petroleum ka pasur një detyrim prej disa qindra mijë lekësh ndaj Doganës Vlorë, detyrim i cili kishte sjellë për pasojë bllokimin e lëvizjeve nga ana e kësaj dege doganore. Phoenix Petroleum arriti ta shlyejë këtë detyrim në fund të muajit Mars 2017. Shuma e vogël e detyrimit dhe pamundësia e kësaj kompanie për ta shlyer në një afat të arsyeshëm këtë detyrim tregon për gjendjen e vështirë financiare të kësaj shoqërie. Gjithashtu për ne përbën shqetësim fakti që ish punonjësit e Phoenix Petroleum, njëkohësisht banorë të zonës rreth vendburimit, na kanë kërkuar ndihmë që të negociojmë me P</w:t>
      </w:r>
      <w:r w:rsidR="00EC050F">
        <w:rPr>
          <w:rFonts w:ascii="Times New Roman" w:hAnsi="Times New Roman"/>
          <w:sz w:val="24"/>
          <w:szCs w:val="24"/>
          <w:lang w:val="sq-AL"/>
        </w:rPr>
        <w:t xml:space="preserve">hoenix </w:t>
      </w:r>
      <w:r w:rsidRPr="003302DD">
        <w:rPr>
          <w:rFonts w:ascii="Times New Roman" w:hAnsi="Times New Roman"/>
          <w:sz w:val="24"/>
          <w:szCs w:val="24"/>
          <w:lang w:val="sq-AL"/>
        </w:rPr>
        <w:t>P</w:t>
      </w:r>
      <w:r w:rsidR="00EC050F">
        <w:rPr>
          <w:rFonts w:ascii="Times New Roman" w:hAnsi="Times New Roman"/>
          <w:sz w:val="24"/>
          <w:szCs w:val="24"/>
          <w:lang w:val="sq-AL"/>
        </w:rPr>
        <w:t>etroleum</w:t>
      </w:r>
      <w:r w:rsidRPr="003302DD">
        <w:rPr>
          <w:rFonts w:ascii="Times New Roman" w:hAnsi="Times New Roman"/>
          <w:sz w:val="24"/>
          <w:szCs w:val="24"/>
          <w:lang w:val="sq-AL"/>
        </w:rPr>
        <w:t xml:space="preserve"> për t’ju paguar sigurimet shoqërore për të cilat këta ish punonjës pretendojnë se nuk janë paguar prej më tepër se </w:t>
      </w:r>
      <w:r w:rsidR="00EC050F">
        <w:rPr>
          <w:rFonts w:ascii="Times New Roman" w:hAnsi="Times New Roman"/>
          <w:sz w:val="24"/>
          <w:szCs w:val="24"/>
          <w:lang w:val="sq-AL"/>
        </w:rPr>
        <w:t>një</w:t>
      </w:r>
      <w:r w:rsidRPr="003302DD">
        <w:rPr>
          <w:rFonts w:ascii="Times New Roman" w:hAnsi="Times New Roman"/>
          <w:sz w:val="24"/>
          <w:szCs w:val="24"/>
          <w:lang w:val="sq-AL"/>
        </w:rPr>
        <w:t xml:space="preserve"> viti. </w:t>
      </w:r>
    </w:p>
    <w:p w:rsidR="003302DD" w:rsidRPr="003302DD" w:rsidRDefault="003302DD" w:rsidP="003302DD">
      <w:pPr>
        <w:tabs>
          <w:tab w:val="left" w:pos="5415"/>
        </w:tabs>
        <w:spacing w:after="0" w:line="240" w:lineRule="auto"/>
        <w:ind w:left="90"/>
        <w:jc w:val="both"/>
        <w:rPr>
          <w:rFonts w:ascii="Times New Roman" w:hAnsi="Times New Roman"/>
          <w:sz w:val="24"/>
          <w:szCs w:val="24"/>
          <w:lang w:val="sq-AL"/>
        </w:rPr>
      </w:pPr>
    </w:p>
    <w:p w:rsidR="003302DD" w:rsidRPr="003302DD" w:rsidRDefault="003302DD" w:rsidP="003302DD">
      <w:pPr>
        <w:tabs>
          <w:tab w:val="left" w:pos="5415"/>
        </w:tabs>
        <w:spacing w:after="0" w:line="240" w:lineRule="auto"/>
        <w:ind w:left="90"/>
        <w:jc w:val="both"/>
        <w:rPr>
          <w:rFonts w:ascii="Times New Roman" w:hAnsi="Times New Roman"/>
          <w:b/>
          <w:sz w:val="24"/>
          <w:szCs w:val="24"/>
          <w:lang w:val="sq-AL"/>
        </w:rPr>
      </w:pPr>
      <w:r w:rsidRPr="003302DD">
        <w:rPr>
          <w:rFonts w:ascii="Times New Roman" w:hAnsi="Times New Roman"/>
          <w:b/>
          <w:sz w:val="24"/>
          <w:szCs w:val="24"/>
          <w:lang w:val="sq-AL"/>
        </w:rPr>
        <w:t>Hashtag.al posedon filmime ku duken autobote të Albpetrolit duke u furnizuar direkt në pus. A është ky veprim rreptësisht i ndaluar nga ligji dhe a përbën ky veprim kontrabandë dhe evazion fiskal?</w:t>
      </w:r>
    </w:p>
    <w:p w:rsidR="003302DD" w:rsidRPr="003302DD" w:rsidRDefault="003302DD" w:rsidP="003302DD">
      <w:pPr>
        <w:tabs>
          <w:tab w:val="left" w:pos="5415"/>
        </w:tabs>
        <w:spacing w:after="0" w:line="240" w:lineRule="auto"/>
        <w:ind w:left="90"/>
        <w:jc w:val="both"/>
        <w:rPr>
          <w:rFonts w:ascii="Times New Roman" w:hAnsi="Times New Roman"/>
          <w:sz w:val="24"/>
          <w:szCs w:val="24"/>
          <w:lang w:val="sq-AL"/>
        </w:rPr>
      </w:pPr>
      <w:r w:rsidRPr="003302DD">
        <w:rPr>
          <w:rFonts w:ascii="Times New Roman" w:hAnsi="Times New Roman"/>
          <w:sz w:val="24"/>
          <w:szCs w:val="24"/>
          <w:lang w:val="sq-AL"/>
        </w:rPr>
        <w:t xml:space="preserve">Tërheqja e fluidit të prodhuar në puse nëpërmjet autoboteve është një praktikë normale në industrinë e naftës në Shqipëri dhe në të gjithë botën. Këtë veprim e kryejnë të gjitha kompanitë e naftës në Shqipëri. Mund të shkoni të vizitoni edhe grupet e puseve të kompanisë Bankers Petroleum, kompania me standardet më të larta në Shqipëri dhe do të shikoni që kryen po të njëjtën procedurë. Në të gjitha rastet lëvizjes e fluidit nga grupi i puseve në dekantim kryhet me faturë shoqëruese. Si pasoje e denoncimeve të rremë të shoqërisë Phoenix Petroleum, Albpetrol është kontrolluar gjate javës së fundit dy herë në Vendburimin Amonice nga autoritetet doganore, antikontrabanda dhe hetimi tatimor. Procesi i transportimit te fluidit nga Vendburimi Amonicë drejt dekantimit në Gorisht është konsideruar i rregullt nga këto </w:t>
      </w:r>
      <w:r w:rsidRPr="003302DD">
        <w:rPr>
          <w:rFonts w:ascii="Times New Roman" w:hAnsi="Times New Roman"/>
          <w:sz w:val="24"/>
          <w:szCs w:val="24"/>
          <w:lang w:val="sq-AL"/>
        </w:rPr>
        <w:lastRenderedPageBreak/>
        <w:t>grupe kontrolli. Albpetrol i konsideron këto denoncime të paligjshme të shoqërisë Phoenix Petroleum në institucionet shtetërore apo media si denoncime të rreme abuzive dhe mjete presioni për të na penguar në aktivitetin tonë normal për administrimin e Vendburimit Amonicë. Albpetrol do të ndjekë rrugën e duhur ligjore ndaj cilitdo që përhap këto shpifje në kundërshtim me normat ligjore dhe praktikat e mira të biznesit.</w:t>
      </w:r>
    </w:p>
    <w:p w:rsidR="003302DD" w:rsidRPr="003302DD" w:rsidRDefault="003302DD" w:rsidP="003302DD">
      <w:pPr>
        <w:tabs>
          <w:tab w:val="left" w:pos="5415"/>
        </w:tabs>
        <w:spacing w:after="0" w:line="240" w:lineRule="auto"/>
        <w:ind w:left="90"/>
        <w:jc w:val="both"/>
        <w:rPr>
          <w:rFonts w:ascii="Times New Roman" w:hAnsi="Times New Roman"/>
          <w:sz w:val="24"/>
          <w:szCs w:val="24"/>
          <w:lang w:val="sq-AL"/>
        </w:rPr>
      </w:pPr>
    </w:p>
    <w:p w:rsidR="0009684B" w:rsidRPr="0009684B" w:rsidRDefault="003302DD" w:rsidP="003302DD">
      <w:pPr>
        <w:tabs>
          <w:tab w:val="left" w:pos="5415"/>
        </w:tabs>
        <w:spacing w:after="0" w:line="240" w:lineRule="auto"/>
        <w:ind w:left="90"/>
        <w:jc w:val="both"/>
        <w:rPr>
          <w:rFonts w:ascii="Times New Roman" w:hAnsi="Times New Roman"/>
          <w:sz w:val="24"/>
          <w:szCs w:val="24"/>
          <w:lang w:val="sq-AL"/>
        </w:rPr>
      </w:pPr>
      <w:r w:rsidRPr="003302DD">
        <w:rPr>
          <w:rFonts w:ascii="Times New Roman" w:hAnsi="Times New Roman"/>
          <w:sz w:val="24"/>
          <w:szCs w:val="24"/>
          <w:lang w:val="sq-AL"/>
        </w:rPr>
        <w:t>Për sqarim ju bëjmë me dije se nga puset nuk del naftë bruto, por fluid, i cili ka në përbërje ka kryesisht ujë dhe naftë bruto. Fluidi nga autoritetet doganore nuk konsiderohet produkt i gatshëm për shitje, por lëndë e parë për prodhimin e naftës bruto. Përqindja e naftës bruto në fluid zakonisht për vendburimin në fjalë varion nga 10-50%. Pjesa tjetër është kryesisht ujë, i cili ri injektohet në shtresat prej nga është nxjerrë. Ndarja e naftës nga uji në fluid realizohet në Proceset e Dekantimit, përmes ngrohjes së fluidit në temperatura 60 – 80 grade Celcius përmes skemave teknologjike, të cilat kanë të integruar shkëmbyes nxehtësie. Në përfundim të procesit të Dekantimit prodhohet nafta bruto sipas standardeve ndërkombëtare me përmbajtje uji 0 – 2% dhe që nga ky moment sasia e prodhuar deklarohet online në sistemin e posaçëm të Drejtorisë së Përgjithshme të Doganave.</w:t>
      </w:r>
      <w:r w:rsidR="0009684B" w:rsidRPr="0009684B">
        <w:rPr>
          <w:rFonts w:ascii="Times New Roman" w:hAnsi="Times New Roman"/>
          <w:sz w:val="24"/>
          <w:szCs w:val="24"/>
          <w:lang w:val="sq-AL"/>
        </w:rPr>
        <w:t xml:space="preserve"> </w:t>
      </w:r>
    </w:p>
    <w:p w:rsidR="003302DD" w:rsidRDefault="003302DD" w:rsidP="00EC0B28">
      <w:pPr>
        <w:tabs>
          <w:tab w:val="left" w:pos="5415"/>
        </w:tabs>
        <w:spacing w:after="0" w:line="240" w:lineRule="auto"/>
        <w:ind w:left="90"/>
        <w:jc w:val="both"/>
        <w:rPr>
          <w:b/>
          <w:sz w:val="24"/>
          <w:szCs w:val="24"/>
          <w:lang w:val="sq-AL"/>
        </w:rPr>
      </w:pPr>
    </w:p>
    <w:p w:rsidR="003302DD" w:rsidRDefault="003302DD" w:rsidP="00EC0B28">
      <w:pPr>
        <w:tabs>
          <w:tab w:val="left" w:pos="5415"/>
        </w:tabs>
        <w:spacing w:after="0" w:line="240" w:lineRule="auto"/>
        <w:ind w:left="90"/>
        <w:jc w:val="both"/>
        <w:rPr>
          <w:b/>
          <w:sz w:val="24"/>
          <w:szCs w:val="24"/>
          <w:lang w:val="sq-AL"/>
        </w:rPr>
      </w:pPr>
    </w:p>
    <w:p w:rsidR="001A271E" w:rsidRPr="001A271E" w:rsidRDefault="001A271E" w:rsidP="00EC0B28">
      <w:pPr>
        <w:tabs>
          <w:tab w:val="left" w:pos="5415"/>
        </w:tabs>
        <w:spacing w:after="0" w:line="240" w:lineRule="auto"/>
        <w:ind w:left="90"/>
        <w:jc w:val="both"/>
        <w:rPr>
          <w:b/>
          <w:sz w:val="24"/>
          <w:szCs w:val="24"/>
          <w:lang w:val="sq-AL"/>
        </w:rPr>
      </w:pPr>
      <w:r w:rsidRPr="001A271E">
        <w:rPr>
          <w:b/>
          <w:sz w:val="24"/>
          <w:szCs w:val="24"/>
          <w:lang w:val="sq-AL"/>
        </w:rPr>
        <w:t>Drejtori</w:t>
      </w:r>
      <w:r w:rsidR="00FE3336">
        <w:rPr>
          <w:b/>
          <w:sz w:val="24"/>
          <w:szCs w:val="24"/>
          <w:lang w:val="sq-AL"/>
        </w:rPr>
        <w:t>a</w:t>
      </w:r>
      <w:r w:rsidRPr="001A271E">
        <w:rPr>
          <w:b/>
          <w:sz w:val="24"/>
          <w:szCs w:val="24"/>
          <w:lang w:val="sq-AL"/>
        </w:rPr>
        <w:t xml:space="preserve"> </w:t>
      </w:r>
      <w:r w:rsidR="00FE3336">
        <w:rPr>
          <w:b/>
          <w:sz w:val="24"/>
          <w:szCs w:val="24"/>
          <w:lang w:val="sq-AL"/>
        </w:rPr>
        <w:t>e</w:t>
      </w:r>
      <w:r w:rsidRPr="001A271E">
        <w:rPr>
          <w:b/>
          <w:sz w:val="24"/>
          <w:szCs w:val="24"/>
          <w:lang w:val="sq-AL"/>
        </w:rPr>
        <w:t xml:space="preserve"> Marketingut dhe </w:t>
      </w:r>
    </w:p>
    <w:p w:rsidR="001A271E" w:rsidRPr="001A271E" w:rsidRDefault="001A271E" w:rsidP="00EC0B28">
      <w:pPr>
        <w:tabs>
          <w:tab w:val="left" w:pos="5415"/>
        </w:tabs>
        <w:spacing w:after="0" w:line="240" w:lineRule="auto"/>
        <w:ind w:left="90"/>
        <w:jc w:val="both"/>
        <w:rPr>
          <w:b/>
          <w:sz w:val="24"/>
          <w:szCs w:val="24"/>
          <w:lang w:val="sq-AL"/>
        </w:rPr>
      </w:pPr>
      <w:r w:rsidRPr="001A271E">
        <w:rPr>
          <w:b/>
          <w:sz w:val="24"/>
          <w:szCs w:val="24"/>
          <w:lang w:val="sq-AL"/>
        </w:rPr>
        <w:t>Marrëdhënieve me Publikun</w:t>
      </w:r>
    </w:p>
    <w:sectPr w:rsidR="001A271E" w:rsidRPr="001A271E" w:rsidSect="00011FC0">
      <w:headerReference w:type="even" r:id="rId8"/>
      <w:headerReference w:type="default" r:id="rId9"/>
      <w:footerReference w:type="default" r:id="rId10"/>
      <w:pgSz w:w="12240" w:h="15840" w:code="1"/>
      <w:pgMar w:top="1440" w:right="1350" w:bottom="1440" w:left="1620" w:header="113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85E" w:rsidRDefault="008C585E" w:rsidP="00033DE8">
      <w:pPr>
        <w:spacing w:after="0" w:line="240" w:lineRule="auto"/>
      </w:pPr>
      <w:r>
        <w:separator/>
      </w:r>
    </w:p>
  </w:endnote>
  <w:endnote w:type="continuationSeparator" w:id="1">
    <w:p w:rsidR="008C585E" w:rsidRDefault="008C585E" w:rsidP="00033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F Din Light">
    <w:altName w:val="Arial"/>
    <w:panose1 w:val="00000000000000000000"/>
    <w:charset w:val="A1"/>
    <w:family w:val="modern"/>
    <w:notTrueType/>
    <w:pitch w:val="variable"/>
    <w:sig w:usb0="00000081" w:usb1="0000004A"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8C" w:rsidRPr="0070308E" w:rsidRDefault="00FF468C" w:rsidP="00D00FFF">
    <w:pPr>
      <w:pStyle w:val="Footer"/>
      <w:tabs>
        <w:tab w:val="clear" w:pos="4680"/>
        <w:tab w:val="clear" w:pos="9360"/>
        <w:tab w:val="left" w:pos="3345"/>
      </w:tabs>
      <w:rPr>
        <w:rFonts w:ascii="CF Din Light" w:hAnsi="CF Din Light"/>
        <w:color w:val="1F497D"/>
        <w:sz w:val="6"/>
        <w:szCs w:val="6"/>
        <w:lang w:val="sq-AL"/>
      </w:rPr>
    </w:pPr>
    <w:r w:rsidRPr="0070308E">
      <w:rPr>
        <w:noProof/>
      </w:rPr>
      <w:drawing>
        <wp:anchor distT="0" distB="0" distL="114300" distR="114300" simplePos="0" relativeHeight="251657216" behindDoc="1" locked="0" layoutInCell="1" allowOverlap="1">
          <wp:simplePos x="0" y="0"/>
          <wp:positionH relativeFrom="column">
            <wp:posOffset>-2628900</wp:posOffset>
          </wp:positionH>
          <wp:positionV relativeFrom="paragraph">
            <wp:posOffset>-97790</wp:posOffset>
          </wp:positionV>
          <wp:extent cx="8887460" cy="171450"/>
          <wp:effectExtent l="19050" t="0" r="8890" b="0"/>
          <wp:wrapNone/>
          <wp:docPr id="1" name="Picture 1" descr="ad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a.jpg"/>
                  <pic:cNvPicPr>
                    <a:picLocks noChangeAspect="1" noChangeArrowheads="1"/>
                  </pic:cNvPicPr>
                </pic:nvPicPr>
                <pic:blipFill>
                  <a:blip r:embed="rId1"/>
                  <a:srcRect b="79231"/>
                  <a:stretch>
                    <a:fillRect/>
                  </a:stretch>
                </pic:blipFill>
                <pic:spPr bwMode="auto">
                  <a:xfrm>
                    <a:off x="0" y="0"/>
                    <a:ext cx="8887460" cy="171450"/>
                  </a:xfrm>
                  <a:prstGeom prst="rect">
                    <a:avLst/>
                  </a:prstGeom>
                  <a:noFill/>
                  <a:ln w="9525">
                    <a:noFill/>
                    <a:miter lim="800000"/>
                    <a:headEnd/>
                    <a:tailEnd/>
                  </a:ln>
                </pic:spPr>
              </pic:pic>
            </a:graphicData>
          </a:graphic>
        </wp:anchor>
      </w:drawing>
    </w:r>
    <w:r w:rsidRPr="0070308E">
      <w:rPr>
        <w:rFonts w:ascii="CF Din Light" w:hAnsi="CF Din Light"/>
        <w:b/>
        <w:color w:val="1F497D"/>
        <w:sz w:val="16"/>
        <w:szCs w:val="16"/>
        <w:lang w:val="sq-AL"/>
      </w:rPr>
      <w:t xml:space="preserve">Albpetrolsh.a. </w:t>
    </w:r>
    <w:r w:rsidRPr="0070308E">
      <w:rPr>
        <w:rFonts w:ascii="CF Din Light" w:hAnsi="CF Din Light"/>
        <w:color w:val="1F497D"/>
        <w:sz w:val="16"/>
        <w:szCs w:val="16"/>
        <w:lang w:val="sq-AL"/>
      </w:rPr>
      <w:t>NUIS J82916500U Selia Rruga Fier-Patos Km. 7 Patos / Zyra në Tiranë Bulevardi “ZhanD’Ark”, Nr.3, Tiranë</w:t>
    </w:r>
    <w:r w:rsidRPr="0070308E">
      <w:rPr>
        <w:rFonts w:ascii="CF Din Light" w:hAnsi="CF Din Light"/>
        <w:color w:val="1F497D"/>
        <w:sz w:val="14"/>
        <w:szCs w:val="14"/>
        <w:lang w:val="sq-AL"/>
      </w:rPr>
      <w:tab/>
    </w:r>
  </w:p>
  <w:p w:rsidR="00FF468C" w:rsidRPr="0070308E" w:rsidRDefault="00FF468C" w:rsidP="00D00FFF">
    <w:pPr>
      <w:pStyle w:val="Footer"/>
      <w:tabs>
        <w:tab w:val="clear" w:pos="4680"/>
        <w:tab w:val="clear" w:pos="9360"/>
        <w:tab w:val="left" w:pos="3345"/>
      </w:tabs>
      <w:rPr>
        <w:rFonts w:ascii="CF Din Light" w:hAnsi="CF Din Light"/>
        <w:b/>
        <w:color w:val="1F497D"/>
        <w:lang w:val="sq-AL"/>
      </w:rPr>
    </w:pPr>
    <w:r w:rsidRPr="0070308E">
      <w:rPr>
        <w:rFonts w:ascii="CF Din Light" w:hAnsi="CF Din Light"/>
        <w:b/>
        <w:color w:val="1F497D"/>
        <w:lang w:val="sq-AL"/>
      </w:rPr>
      <w:t xml:space="preserve">T  </w:t>
    </w:r>
    <w:r w:rsidRPr="0070308E">
      <w:rPr>
        <w:rFonts w:ascii="CF Din Light" w:hAnsi="CF Din Light"/>
        <w:color w:val="1F497D"/>
        <w:lang w:val="sq-AL"/>
      </w:rPr>
      <w:t xml:space="preserve">+3553813662                              </w:t>
    </w:r>
    <w:r w:rsidRPr="0070308E">
      <w:rPr>
        <w:rFonts w:ascii="CF Din Light" w:hAnsi="CF Din Light"/>
        <w:b/>
        <w:color w:val="1F497D"/>
        <w:lang w:val="sq-AL"/>
      </w:rPr>
      <w:t xml:space="preserve">F  </w:t>
    </w:r>
    <w:r w:rsidRPr="0070308E">
      <w:rPr>
        <w:rFonts w:ascii="CF Din Light" w:hAnsi="CF Din Light"/>
        <w:color w:val="1F497D"/>
        <w:lang w:val="sq-AL"/>
      </w:rPr>
      <w:t xml:space="preserve">+35534704415                            </w:t>
    </w:r>
    <w:r w:rsidR="00614C5A">
      <w:rPr>
        <w:rFonts w:ascii="CF Din Light" w:hAnsi="CF Din Light"/>
        <w:b/>
        <w:color w:val="1F497D"/>
        <w:lang w:val="sq-AL"/>
      </w:rPr>
      <w:t>Ë</w:t>
    </w:r>
    <w:r w:rsidR="00614C5A">
      <w:rPr>
        <w:rFonts w:ascii="CF Din Light" w:hAnsi="CF Din Light"/>
        <w:color w:val="1F497D"/>
        <w:lang w:val="sq-AL"/>
      </w:rPr>
      <w:t>ëëë</w:t>
    </w:r>
    <w:r w:rsidRPr="0070308E">
      <w:rPr>
        <w:rFonts w:ascii="CF Din Light" w:hAnsi="CF Din Light"/>
        <w:color w:val="1F497D"/>
        <w:lang w:val="sq-AL"/>
      </w:rPr>
      <w:t>.albpetrol.al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85E" w:rsidRDefault="008C585E" w:rsidP="00033DE8">
      <w:pPr>
        <w:spacing w:after="0" w:line="240" w:lineRule="auto"/>
      </w:pPr>
      <w:r>
        <w:separator/>
      </w:r>
    </w:p>
  </w:footnote>
  <w:footnote w:type="continuationSeparator" w:id="1">
    <w:p w:rsidR="008C585E" w:rsidRDefault="008C585E" w:rsidP="00033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8C" w:rsidRDefault="00FF468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8C" w:rsidRPr="0070308E" w:rsidRDefault="00FF468C" w:rsidP="0034244F">
    <w:pPr>
      <w:pStyle w:val="Header"/>
      <w:suppressLineNumbers/>
      <w:tabs>
        <w:tab w:val="clear" w:pos="4680"/>
        <w:tab w:val="clear" w:pos="9360"/>
        <w:tab w:val="left" w:pos="5895"/>
      </w:tabs>
      <w:ind w:left="-90"/>
      <w:rPr>
        <w:rFonts w:ascii="CF Din Light" w:hAnsi="CF Din Light"/>
        <w:lang w:val="sq-AL"/>
      </w:rPr>
    </w:pPr>
    <w:r w:rsidRPr="0070308E">
      <w:rPr>
        <w:noProof/>
      </w:rPr>
      <w:drawing>
        <wp:anchor distT="0" distB="0" distL="114300" distR="114300" simplePos="0" relativeHeight="251658240" behindDoc="1" locked="0" layoutInCell="1" allowOverlap="1">
          <wp:simplePos x="0" y="0"/>
          <wp:positionH relativeFrom="column">
            <wp:posOffset>-12122</wp:posOffset>
          </wp:positionH>
          <wp:positionV relativeFrom="paragraph">
            <wp:posOffset>-330744</wp:posOffset>
          </wp:positionV>
          <wp:extent cx="1738498" cy="522514"/>
          <wp:effectExtent l="19050" t="0" r="0" b="0"/>
          <wp:wrapNone/>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1738498" cy="52251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4A7"/>
    <w:multiLevelType w:val="hybridMultilevel"/>
    <w:tmpl w:val="C6DA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9586D"/>
    <w:multiLevelType w:val="hybridMultilevel"/>
    <w:tmpl w:val="41AC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25A1C"/>
    <w:multiLevelType w:val="hybridMultilevel"/>
    <w:tmpl w:val="4216A23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F66097C"/>
    <w:multiLevelType w:val="hybridMultilevel"/>
    <w:tmpl w:val="0E54E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CA04AA"/>
    <w:multiLevelType w:val="hybridMultilevel"/>
    <w:tmpl w:val="707A8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F1303"/>
    <w:multiLevelType w:val="hybridMultilevel"/>
    <w:tmpl w:val="FF94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90BB0"/>
    <w:multiLevelType w:val="hybridMultilevel"/>
    <w:tmpl w:val="F2F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A2D9C"/>
    <w:multiLevelType w:val="hybridMultilevel"/>
    <w:tmpl w:val="57220738"/>
    <w:lvl w:ilvl="0" w:tplc="543A92E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66603"/>
    <w:multiLevelType w:val="hybridMultilevel"/>
    <w:tmpl w:val="949E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854D4"/>
    <w:multiLevelType w:val="hybridMultilevel"/>
    <w:tmpl w:val="1A0C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EF73F3"/>
    <w:multiLevelType w:val="hybridMultilevel"/>
    <w:tmpl w:val="15D0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63816"/>
    <w:multiLevelType w:val="hybridMultilevel"/>
    <w:tmpl w:val="9FDE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4"/>
  </w:num>
  <w:num w:numId="5">
    <w:abstractNumId w:val="7"/>
  </w:num>
  <w:num w:numId="6">
    <w:abstractNumId w:val="1"/>
  </w:num>
  <w:num w:numId="7">
    <w:abstractNumId w:val="8"/>
  </w:num>
  <w:num w:numId="8">
    <w:abstractNumId w:val="0"/>
  </w:num>
  <w:num w:numId="9">
    <w:abstractNumId w:val="3"/>
  </w:num>
  <w:num w:numId="10">
    <w:abstractNumId w:val="11"/>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033DE8"/>
    <w:rsid w:val="00011FC0"/>
    <w:rsid w:val="00013AD3"/>
    <w:rsid w:val="00020233"/>
    <w:rsid w:val="00033DE8"/>
    <w:rsid w:val="00034CA4"/>
    <w:rsid w:val="00043A8A"/>
    <w:rsid w:val="00054470"/>
    <w:rsid w:val="00087D71"/>
    <w:rsid w:val="0009684B"/>
    <w:rsid w:val="000A55A6"/>
    <w:rsid w:val="000C337B"/>
    <w:rsid w:val="000F13DA"/>
    <w:rsid w:val="000F79BF"/>
    <w:rsid w:val="001029AF"/>
    <w:rsid w:val="0010619B"/>
    <w:rsid w:val="001154CC"/>
    <w:rsid w:val="0011703C"/>
    <w:rsid w:val="001208A4"/>
    <w:rsid w:val="0014186D"/>
    <w:rsid w:val="00144AA1"/>
    <w:rsid w:val="00160801"/>
    <w:rsid w:val="001609E1"/>
    <w:rsid w:val="00162E45"/>
    <w:rsid w:val="001800FF"/>
    <w:rsid w:val="001803E6"/>
    <w:rsid w:val="00182AAD"/>
    <w:rsid w:val="00183501"/>
    <w:rsid w:val="001944AD"/>
    <w:rsid w:val="001A271E"/>
    <w:rsid w:val="001A65BD"/>
    <w:rsid w:val="001B0451"/>
    <w:rsid w:val="001B42D3"/>
    <w:rsid w:val="001C1634"/>
    <w:rsid w:val="001D12ED"/>
    <w:rsid w:val="001E4858"/>
    <w:rsid w:val="001E4FEF"/>
    <w:rsid w:val="001F2D08"/>
    <w:rsid w:val="001F35A5"/>
    <w:rsid w:val="00204B15"/>
    <w:rsid w:val="00216F45"/>
    <w:rsid w:val="00236FF7"/>
    <w:rsid w:val="00244F1B"/>
    <w:rsid w:val="0024747C"/>
    <w:rsid w:val="0025763C"/>
    <w:rsid w:val="00261C3B"/>
    <w:rsid w:val="00263B59"/>
    <w:rsid w:val="00270716"/>
    <w:rsid w:val="00271165"/>
    <w:rsid w:val="002A4A4F"/>
    <w:rsid w:val="002B21E5"/>
    <w:rsid w:val="002B44BA"/>
    <w:rsid w:val="002B4B66"/>
    <w:rsid w:val="002C1CB0"/>
    <w:rsid w:val="002C2EAB"/>
    <w:rsid w:val="002D2289"/>
    <w:rsid w:val="003211FE"/>
    <w:rsid w:val="003302DD"/>
    <w:rsid w:val="00331D6F"/>
    <w:rsid w:val="00340C76"/>
    <w:rsid w:val="0034244F"/>
    <w:rsid w:val="00357317"/>
    <w:rsid w:val="00362C8B"/>
    <w:rsid w:val="003835E8"/>
    <w:rsid w:val="00392F94"/>
    <w:rsid w:val="003A33EB"/>
    <w:rsid w:val="003A6455"/>
    <w:rsid w:val="003C1058"/>
    <w:rsid w:val="003C5670"/>
    <w:rsid w:val="003D5DF1"/>
    <w:rsid w:val="003F2CCD"/>
    <w:rsid w:val="003F614D"/>
    <w:rsid w:val="00402CEE"/>
    <w:rsid w:val="004035AB"/>
    <w:rsid w:val="00436748"/>
    <w:rsid w:val="00440801"/>
    <w:rsid w:val="00441AB5"/>
    <w:rsid w:val="00455B64"/>
    <w:rsid w:val="004613F6"/>
    <w:rsid w:val="00473B66"/>
    <w:rsid w:val="004961AC"/>
    <w:rsid w:val="004C62D5"/>
    <w:rsid w:val="004D635D"/>
    <w:rsid w:val="005136B9"/>
    <w:rsid w:val="00514274"/>
    <w:rsid w:val="00522CFA"/>
    <w:rsid w:val="00524809"/>
    <w:rsid w:val="005402D6"/>
    <w:rsid w:val="005418A2"/>
    <w:rsid w:val="0058083F"/>
    <w:rsid w:val="00581688"/>
    <w:rsid w:val="0058198A"/>
    <w:rsid w:val="0058216D"/>
    <w:rsid w:val="00591940"/>
    <w:rsid w:val="00591DBA"/>
    <w:rsid w:val="005B2B8A"/>
    <w:rsid w:val="005B5ACA"/>
    <w:rsid w:val="005B7854"/>
    <w:rsid w:val="005D3B3E"/>
    <w:rsid w:val="005D6156"/>
    <w:rsid w:val="005E3265"/>
    <w:rsid w:val="005E5C02"/>
    <w:rsid w:val="005E7FDE"/>
    <w:rsid w:val="005F5696"/>
    <w:rsid w:val="00604D0A"/>
    <w:rsid w:val="00605259"/>
    <w:rsid w:val="00614C5A"/>
    <w:rsid w:val="00617E3E"/>
    <w:rsid w:val="0065113B"/>
    <w:rsid w:val="00657A32"/>
    <w:rsid w:val="006716B5"/>
    <w:rsid w:val="00680124"/>
    <w:rsid w:val="006A6107"/>
    <w:rsid w:val="006B3F45"/>
    <w:rsid w:val="006D2554"/>
    <w:rsid w:val="006D393A"/>
    <w:rsid w:val="006E5825"/>
    <w:rsid w:val="006F5E3D"/>
    <w:rsid w:val="0070308E"/>
    <w:rsid w:val="00706986"/>
    <w:rsid w:val="007075AD"/>
    <w:rsid w:val="00711B7E"/>
    <w:rsid w:val="007271CD"/>
    <w:rsid w:val="00743DF8"/>
    <w:rsid w:val="00744EE9"/>
    <w:rsid w:val="00745DD6"/>
    <w:rsid w:val="00756103"/>
    <w:rsid w:val="007758E0"/>
    <w:rsid w:val="00776484"/>
    <w:rsid w:val="0079212B"/>
    <w:rsid w:val="007C7648"/>
    <w:rsid w:val="007E0738"/>
    <w:rsid w:val="007E67DD"/>
    <w:rsid w:val="007E6E36"/>
    <w:rsid w:val="00800CD0"/>
    <w:rsid w:val="008049D3"/>
    <w:rsid w:val="00813E91"/>
    <w:rsid w:val="00820B36"/>
    <w:rsid w:val="00826274"/>
    <w:rsid w:val="00826D99"/>
    <w:rsid w:val="008334FB"/>
    <w:rsid w:val="00840897"/>
    <w:rsid w:val="00855B0C"/>
    <w:rsid w:val="00856015"/>
    <w:rsid w:val="008724DA"/>
    <w:rsid w:val="00875117"/>
    <w:rsid w:val="008848E3"/>
    <w:rsid w:val="00886934"/>
    <w:rsid w:val="00891C2E"/>
    <w:rsid w:val="008A1D31"/>
    <w:rsid w:val="008C585E"/>
    <w:rsid w:val="008F0F70"/>
    <w:rsid w:val="00914BF0"/>
    <w:rsid w:val="0095394A"/>
    <w:rsid w:val="00972582"/>
    <w:rsid w:val="00973106"/>
    <w:rsid w:val="00984A6F"/>
    <w:rsid w:val="00990D15"/>
    <w:rsid w:val="009A133D"/>
    <w:rsid w:val="009A4AF8"/>
    <w:rsid w:val="009A62B5"/>
    <w:rsid w:val="009B0653"/>
    <w:rsid w:val="009C6091"/>
    <w:rsid w:val="009D2A89"/>
    <w:rsid w:val="00A43242"/>
    <w:rsid w:val="00A525B0"/>
    <w:rsid w:val="00A52B30"/>
    <w:rsid w:val="00A553F6"/>
    <w:rsid w:val="00A6280D"/>
    <w:rsid w:val="00A64B28"/>
    <w:rsid w:val="00A70E50"/>
    <w:rsid w:val="00AA4210"/>
    <w:rsid w:val="00AA7D36"/>
    <w:rsid w:val="00AB0021"/>
    <w:rsid w:val="00AB50DA"/>
    <w:rsid w:val="00AB5E7B"/>
    <w:rsid w:val="00AE4C4A"/>
    <w:rsid w:val="00B07E8B"/>
    <w:rsid w:val="00B141A4"/>
    <w:rsid w:val="00B1642C"/>
    <w:rsid w:val="00B25400"/>
    <w:rsid w:val="00B263AC"/>
    <w:rsid w:val="00B371DC"/>
    <w:rsid w:val="00B70CE7"/>
    <w:rsid w:val="00B86E64"/>
    <w:rsid w:val="00B94449"/>
    <w:rsid w:val="00B9499F"/>
    <w:rsid w:val="00BA04A7"/>
    <w:rsid w:val="00BA2090"/>
    <w:rsid w:val="00BA3903"/>
    <w:rsid w:val="00BB0B1A"/>
    <w:rsid w:val="00BB26EE"/>
    <w:rsid w:val="00BB2A2F"/>
    <w:rsid w:val="00BC040B"/>
    <w:rsid w:val="00BE3B8C"/>
    <w:rsid w:val="00BE49A2"/>
    <w:rsid w:val="00C02669"/>
    <w:rsid w:val="00C0627A"/>
    <w:rsid w:val="00C20F83"/>
    <w:rsid w:val="00C40314"/>
    <w:rsid w:val="00C46A93"/>
    <w:rsid w:val="00C67F5D"/>
    <w:rsid w:val="00C716CC"/>
    <w:rsid w:val="00CC4328"/>
    <w:rsid w:val="00CC49F4"/>
    <w:rsid w:val="00CC56EE"/>
    <w:rsid w:val="00CE7120"/>
    <w:rsid w:val="00D00FFF"/>
    <w:rsid w:val="00D06076"/>
    <w:rsid w:val="00D164A3"/>
    <w:rsid w:val="00D335B4"/>
    <w:rsid w:val="00D45E35"/>
    <w:rsid w:val="00D60DF3"/>
    <w:rsid w:val="00D7187D"/>
    <w:rsid w:val="00D83EEA"/>
    <w:rsid w:val="00D8488F"/>
    <w:rsid w:val="00D97BA2"/>
    <w:rsid w:val="00DC60E4"/>
    <w:rsid w:val="00DF3E6E"/>
    <w:rsid w:val="00E00FDD"/>
    <w:rsid w:val="00E217CE"/>
    <w:rsid w:val="00E409FF"/>
    <w:rsid w:val="00E52136"/>
    <w:rsid w:val="00E57701"/>
    <w:rsid w:val="00E62033"/>
    <w:rsid w:val="00EC050F"/>
    <w:rsid w:val="00EC0B28"/>
    <w:rsid w:val="00EC1774"/>
    <w:rsid w:val="00EC5270"/>
    <w:rsid w:val="00EC65B1"/>
    <w:rsid w:val="00ED65C7"/>
    <w:rsid w:val="00EF724B"/>
    <w:rsid w:val="00F0161E"/>
    <w:rsid w:val="00F24390"/>
    <w:rsid w:val="00F426CB"/>
    <w:rsid w:val="00F61945"/>
    <w:rsid w:val="00F643D0"/>
    <w:rsid w:val="00F72917"/>
    <w:rsid w:val="00F876CF"/>
    <w:rsid w:val="00FC243A"/>
    <w:rsid w:val="00FE3336"/>
    <w:rsid w:val="00FE5E5C"/>
    <w:rsid w:val="00FF46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E8"/>
    <w:pPr>
      <w:spacing w:after="200" w:line="276" w:lineRule="auto"/>
    </w:pPr>
    <w:rPr>
      <w:sz w:val="22"/>
      <w:szCs w:val="22"/>
    </w:rPr>
  </w:style>
  <w:style w:type="paragraph" w:styleId="Heading4">
    <w:name w:val="heading 4"/>
    <w:basedOn w:val="Normal"/>
    <w:next w:val="Normal"/>
    <w:link w:val="Heading4Char"/>
    <w:qFormat/>
    <w:rsid w:val="00182AAD"/>
    <w:pPr>
      <w:keepNext/>
      <w:spacing w:after="0" w:line="240" w:lineRule="auto"/>
      <w:ind w:left="2448"/>
      <w:outlineLvl w:val="3"/>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DE8"/>
  </w:style>
  <w:style w:type="paragraph" w:styleId="Footer">
    <w:name w:val="footer"/>
    <w:basedOn w:val="Normal"/>
    <w:link w:val="FooterChar"/>
    <w:uiPriority w:val="99"/>
    <w:unhideWhenUsed/>
    <w:rsid w:val="00033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DE8"/>
  </w:style>
  <w:style w:type="paragraph" w:styleId="BalloonText">
    <w:name w:val="Balloon Text"/>
    <w:basedOn w:val="Normal"/>
    <w:link w:val="BalloonTextChar"/>
    <w:uiPriority w:val="99"/>
    <w:semiHidden/>
    <w:unhideWhenUsed/>
    <w:rsid w:val="00033D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3DE8"/>
    <w:rPr>
      <w:rFonts w:ascii="Tahoma" w:hAnsi="Tahoma" w:cs="Tahoma"/>
      <w:sz w:val="16"/>
      <w:szCs w:val="16"/>
    </w:rPr>
  </w:style>
  <w:style w:type="paragraph" w:styleId="ListParagraph">
    <w:name w:val="List Paragraph"/>
    <w:basedOn w:val="Normal"/>
    <w:uiPriority w:val="34"/>
    <w:qFormat/>
    <w:rsid w:val="00033DE8"/>
    <w:pPr>
      <w:ind w:left="720"/>
      <w:contextualSpacing/>
    </w:pPr>
  </w:style>
  <w:style w:type="character" w:styleId="LineNumber">
    <w:name w:val="line number"/>
    <w:basedOn w:val="DefaultParagraphFont"/>
    <w:uiPriority w:val="99"/>
    <w:semiHidden/>
    <w:unhideWhenUsed/>
    <w:rsid w:val="00973106"/>
  </w:style>
  <w:style w:type="character" w:customStyle="1" w:styleId="Heading4Char">
    <w:name w:val="Heading 4 Char"/>
    <w:basedOn w:val="DefaultParagraphFont"/>
    <w:link w:val="Heading4"/>
    <w:rsid w:val="00182AAD"/>
    <w:rPr>
      <w:rFonts w:ascii="Times New Roman" w:eastAsia="Times New Roman" w:hAnsi="Times New Roman"/>
      <w:b/>
      <w:sz w:val="28"/>
    </w:rPr>
  </w:style>
</w:styles>
</file>

<file path=word/webSettings.xml><?xml version="1.0" encoding="utf-8"?>
<w:webSettings xmlns:r="http://schemas.openxmlformats.org/officeDocument/2006/relationships" xmlns:w="http://schemas.openxmlformats.org/wordprocessingml/2006/main">
  <w:divs>
    <w:div w:id="157811026">
      <w:bodyDiv w:val="1"/>
      <w:marLeft w:val="0"/>
      <w:marRight w:val="0"/>
      <w:marTop w:val="0"/>
      <w:marBottom w:val="0"/>
      <w:divBdr>
        <w:top w:val="none" w:sz="0" w:space="0" w:color="auto"/>
        <w:left w:val="none" w:sz="0" w:space="0" w:color="auto"/>
        <w:bottom w:val="none" w:sz="0" w:space="0" w:color="auto"/>
        <w:right w:val="none" w:sz="0" w:space="0" w:color="auto"/>
      </w:divBdr>
      <w:divsChild>
        <w:div w:id="833685059">
          <w:marLeft w:val="0"/>
          <w:marRight w:val="0"/>
          <w:marTop w:val="0"/>
          <w:marBottom w:val="0"/>
          <w:divBdr>
            <w:top w:val="none" w:sz="0" w:space="0" w:color="auto"/>
            <w:left w:val="none" w:sz="0" w:space="0" w:color="auto"/>
            <w:bottom w:val="none" w:sz="0" w:space="0" w:color="auto"/>
            <w:right w:val="none" w:sz="0" w:space="0" w:color="auto"/>
          </w:divBdr>
        </w:div>
        <w:div w:id="1348870937">
          <w:marLeft w:val="0"/>
          <w:marRight w:val="0"/>
          <w:marTop w:val="0"/>
          <w:marBottom w:val="0"/>
          <w:divBdr>
            <w:top w:val="none" w:sz="0" w:space="0" w:color="auto"/>
            <w:left w:val="none" w:sz="0" w:space="0" w:color="auto"/>
            <w:bottom w:val="none" w:sz="0" w:space="0" w:color="auto"/>
            <w:right w:val="none" w:sz="0" w:space="0" w:color="auto"/>
          </w:divBdr>
        </w:div>
      </w:divsChild>
    </w:div>
    <w:div w:id="1211261048">
      <w:bodyDiv w:val="1"/>
      <w:marLeft w:val="0"/>
      <w:marRight w:val="0"/>
      <w:marTop w:val="0"/>
      <w:marBottom w:val="0"/>
      <w:divBdr>
        <w:top w:val="none" w:sz="0" w:space="0" w:color="auto"/>
        <w:left w:val="none" w:sz="0" w:space="0" w:color="auto"/>
        <w:bottom w:val="none" w:sz="0" w:space="0" w:color="auto"/>
        <w:right w:val="none" w:sz="0" w:space="0" w:color="auto"/>
      </w:divBdr>
      <w:divsChild>
        <w:div w:id="515778221">
          <w:marLeft w:val="0"/>
          <w:marRight w:val="0"/>
          <w:marTop w:val="0"/>
          <w:marBottom w:val="0"/>
          <w:divBdr>
            <w:top w:val="none" w:sz="0" w:space="0" w:color="auto"/>
            <w:left w:val="none" w:sz="0" w:space="0" w:color="auto"/>
            <w:bottom w:val="none" w:sz="0" w:space="0" w:color="auto"/>
            <w:right w:val="none" w:sz="0" w:space="0" w:color="auto"/>
          </w:divBdr>
        </w:div>
        <w:div w:id="1164205947">
          <w:marLeft w:val="0"/>
          <w:marRight w:val="0"/>
          <w:marTop w:val="0"/>
          <w:marBottom w:val="0"/>
          <w:divBdr>
            <w:top w:val="none" w:sz="0" w:space="0" w:color="auto"/>
            <w:left w:val="none" w:sz="0" w:space="0" w:color="auto"/>
            <w:bottom w:val="none" w:sz="0" w:space="0" w:color="auto"/>
            <w:right w:val="none" w:sz="0" w:space="0" w:color="auto"/>
          </w:divBdr>
        </w:div>
      </w:divsChild>
    </w:div>
    <w:div w:id="1578588363">
      <w:bodyDiv w:val="1"/>
      <w:marLeft w:val="0"/>
      <w:marRight w:val="0"/>
      <w:marTop w:val="0"/>
      <w:marBottom w:val="0"/>
      <w:divBdr>
        <w:top w:val="none" w:sz="0" w:space="0" w:color="auto"/>
        <w:left w:val="none" w:sz="0" w:space="0" w:color="auto"/>
        <w:bottom w:val="none" w:sz="0" w:space="0" w:color="auto"/>
        <w:right w:val="none" w:sz="0" w:space="0" w:color="auto"/>
      </w:divBdr>
      <w:divsChild>
        <w:div w:id="1723676035">
          <w:marLeft w:val="0"/>
          <w:marRight w:val="0"/>
          <w:marTop w:val="0"/>
          <w:marBottom w:val="0"/>
          <w:divBdr>
            <w:top w:val="none" w:sz="0" w:space="0" w:color="auto"/>
            <w:left w:val="none" w:sz="0" w:space="0" w:color="auto"/>
            <w:bottom w:val="none" w:sz="0" w:space="0" w:color="auto"/>
            <w:right w:val="none" w:sz="0" w:space="0" w:color="auto"/>
          </w:divBdr>
        </w:div>
        <w:div w:id="197115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FCD6-7BCF-491B-B7FB-4BD428BB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Adobe</dc:creator>
  <cp:lastModifiedBy>Ened.Janina</cp:lastModifiedBy>
  <cp:revision>5</cp:revision>
  <cp:lastPrinted>2016-05-23T12:48:00Z</cp:lastPrinted>
  <dcterms:created xsi:type="dcterms:W3CDTF">2017-03-10T09:59:00Z</dcterms:created>
  <dcterms:modified xsi:type="dcterms:W3CDTF">2017-04-21T10:44:00Z</dcterms:modified>
</cp:coreProperties>
</file>